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C15B" w14:textId="77777777" w:rsidR="008D5D4E" w:rsidRDefault="008D5D4E" w:rsidP="008D5D4E">
      <w:pPr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000000" w:themeColor="text1"/>
          <w:lang w:val="el-GR" w:eastAsia="en-GB"/>
        </w:rPr>
      </w:pPr>
      <w:bookmarkStart w:id="0" w:name="_GoBack"/>
      <w:bookmarkEnd w:id="0"/>
    </w:p>
    <w:p w14:paraId="7A8AB50B" w14:textId="77777777" w:rsidR="007F64B0" w:rsidRDefault="00156945" w:rsidP="002C3F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ANNOUNCEMENT</w:t>
      </w:r>
      <w:r w:rsidRPr="00156945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OF</w:t>
      </w:r>
      <w:r w:rsidRPr="00156945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SCHOLARSHIPS</w:t>
      </w:r>
      <w:r w:rsidRPr="00156945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IN</w:t>
      </w:r>
      <w:r w:rsidRPr="00156945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MEMORY OF MICHAEL FREDERICK</w:t>
      </w:r>
      <w:r w:rsidR="0069753A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ou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</w:p>
    <w:p w14:paraId="583DE765" w14:textId="08247AE1" w:rsidR="00AD06C7" w:rsidRPr="00156945" w:rsidRDefault="00156945" w:rsidP="002C3F1E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FOR THE ACADEMIC YEAR 2022-23</w:t>
      </w:r>
    </w:p>
    <w:p w14:paraId="59E30281" w14:textId="77777777" w:rsidR="00BD1C3C" w:rsidRPr="00156945" w:rsidRDefault="00BD1C3C" w:rsidP="00363DC9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AFBFC"/>
          <w:lang w:val="en-US"/>
        </w:rPr>
      </w:pPr>
    </w:p>
    <w:p w14:paraId="492DED1B" w14:textId="490F069A" w:rsidR="008D1419" w:rsidRPr="005A5425" w:rsidRDefault="00156945" w:rsidP="00363DC9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Frederick University and Frederick Institute of Technology</w:t>
      </w:r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announce three (3) full scholarships with the possibility of renew</w:t>
      </w:r>
      <w:r w:rsidR="000431F7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al</w:t>
      </w:r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for the whole duration of studies, </w:t>
      </w:r>
      <w:r w:rsidR="007F64B0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in memory of their</w:t>
      </w:r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founder, </w:t>
      </w:r>
      <w:proofErr w:type="spellStart"/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Mr</w:t>
      </w:r>
      <w:proofErr w:type="spellEnd"/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Michael </w:t>
      </w:r>
      <w:proofErr w:type="spellStart"/>
      <w:r w:rsidR="0069753A" w:rsidRP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Frederickou</w:t>
      </w:r>
      <w:proofErr w:type="spellEnd"/>
      <w:r w:rsidR="008D1419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,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who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offered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the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opportunit</w:t>
      </w:r>
      <w:r w:rsid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y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to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thousands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of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young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people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to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0431F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achieve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their</w:t>
      </w:r>
      <w:r w:rsidR="0069753A" w:rsidRP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dreams</w:t>
      </w:r>
      <w:r w:rsid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. The scholarships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were 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announced for the first time two years ago and ever since they are </w:t>
      </w:r>
      <w:r w:rsid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</w:t>
      </w:r>
      <w:r w:rsidR="0069753A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warded every year. </w:t>
      </w:r>
    </w:p>
    <w:p w14:paraId="3B543CF2" w14:textId="22C08E07" w:rsidR="00F339EE" w:rsidRPr="005A5425" w:rsidRDefault="005A5425" w:rsidP="00363DC9">
      <w:pPr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The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scholarships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will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be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given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based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on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socioeconomical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criteria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,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as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well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as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the</w:t>
      </w:r>
      <w:r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academic performance of </w:t>
      </w:r>
      <w:r w:rsidR="007F64B0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candidates</w:t>
      </w:r>
      <w:r w:rsidR="00F339EE" w:rsidRPr="005A5425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.</w:t>
      </w:r>
    </w:p>
    <w:p w14:paraId="34E6CA54" w14:textId="4F9304FF" w:rsidR="00363DC9" w:rsidRPr="005A5425" w:rsidRDefault="007F64B0" w:rsidP="00363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Candidates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are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advised to go through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the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text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of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the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present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announcement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,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especially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>the</w:t>
      </w:r>
      <w:r w:rsidR="005A5425" w:rsidRP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5A5425">
        <w:rPr>
          <w:rFonts w:ascii="Arial" w:eastAsia="Times New Roman" w:hAnsi="Arial" w:cs="Arial"/>
          <w:color w:val="000000" w:themeColor="text1"/>
          <w:lang w:val="en-US" w:eastAsia="en-GB"/>
        </w:rPr>
        <w:t xml:space="preserve">terms and conditions, and ensure they meet the criteria before </w:t>
      </w:r>
      <w:r w:rsidR="005C42B3">
        <w:rPr>
          <w:rFonts w:ascii="Arial" w:eastAsia="Times New Roman" w:hAnsi="Arial" w:cs="Arial"/>
          <w:color w:val="000000" w:themeColor="text1"/>
          <w:lang w:val="en-US" w:eastAsia="en-GB"/>
        </w:rPr>
        <w:t>the completion and submission of the application</w:t>
      </w:r>
      <w:r w:rsidR="00363DC9" w:rsidRPr="005A5425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</w:p>
    <w:p w14:paraId="14ECC971" w14:textId="07BD051B" w:rsidR="00363DC9" w:rsidRPr="005C42B3" w:rsidRDefault="005C42B3" w:rsidP="00363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color w:val="000000" w:themeColor="text1"/>
          <w:lang w:val="en-US" w:eastAsia="en-GB"/>
        </w:rPr>
        <w:t>For</w:t>
      </w:r>
      <w:r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more</w:t>
      </w:r>
      <w:r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information</w:t>
      </w:r>
      <w:r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and</w:t>
      </w:r>
      <w:r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clarifications</w:t>
      </w:r>
      <w:r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, </w:t>
      </w:r>
      <w:r w:rsidR="007F64B0">
        <w:rPr>
          <w:rFonts w:ascii="Arial" w:eastAsia="Times New Roman" w:hAnsi="Arial" w:cs="Arial"/>
          <w:color w:val="000000" w:themeColor="text1"/>
          <w:lang w:val="en-US" w:eastAsia="en-GB"/>
        </w:rPr>
        <w:t xml:space="preserve">please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get in touch with the Admissions Office via email at:</w:t>
      </w:r>
      <w:r w:rsidR="00930C22"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hyperlink r:id="rId7" w:history="1">
        <w:r w:rsidR="00CC3B8B" w:rsidRPr="00CC3B8B">
          <w:rPr>
            <w:rStyle w:val="Hyperlink"/>
            <w:rFonts w:ascii="Arial" w:hAnsi="Arial" w:cs="Arial"/>
          </w:rPr>
          <w:t>mfscholarships</w:t>
        </w:r>
        <w:r w:rsidR="00CC3B8B" w:rsidRPr="005C42B3">
          <w:rPr>
            <w:rStyle w:val="Hyperlink"/>
            <w:rFonts w:ascii="Arial" w:hAnsi="Arial" w:cs="Arial"/>
            <w:lang w:val="en-US"/>
          </w:rPr>
          <w:t>@</w:t>
        </w:r>
        <w:r w:rsidR="00CC3B8B" w:rsidRPr="00CC3B8B">
          <w:rPr>
            <w:rStyle w:val="Hyperlink"/>
            <w:rFonts w:ascii="Arial" w:hAnsi="Arial" w:cs="Arial"/>
          </w:rPr>
          <w:t>frederick</w:t>
        </w:r>
        <w:r w:rsidR="00CC3B8B" w:rsidRPr="005C42B3">
          <w:rPr>
            <w:rStyle w:val="Hyperlink"/>
            <w:rFonts w:ascii="Arial" w:hAnsi="Arial" w:cs="Arial"/>
            <w:lang w:val="en-US"/>
          </w:rPr>
          <w:t>.</w:t>
        </w:r>
        <w:r w:rsidR="00CC3B8B" w:rsidRPr="00CC3B8B">
          <w:rPr>
            <w:rStyle w:val="Hyperlink"/>
            <w:rFonts w:ascii="Arial" w:hAnsi="Arial" w:cs="Arial"/>
          </w:rPr>
          <w:t>ac</w:t>
        </w:r>
        <w:r w:rsidR="00CC3B8B" w:rsidRPr="005C42B3">
          <w:rPr>
            <w:rStyle w:val="Hyperlink"/>
            <w:rFonts w:ascii="Arial" w:hAnsi="Arial" w:cs="Arial"/>
            <w:lang w:val="en-US"/>
          </w:rPr>
          <w:t>.</w:t>
        </w:r>
        <w:r w:rsidR="00CC3B8B" w:rsidRPr="00CC3B8B">
          <w:rPr>
            <w:rStyle w:val="Hyperlink"/>
            <w:rFonts w:ascii="Arial" w:hAnsi="Arial" w:cs="Arial"/>
          </w:rPr>
          <w:t>cy</w:t>
        </w:r>
      </w:hyperlink>
      <w:r w:rsidR="00CC3B8B" w:rsidRPr="005C42B3">
        <w:rPr>
          <w:rFonts w:ascii="Arial" w:hAnsi="Arial" w:cs="Arial"/>
          <w:lang w:val="en-US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or by phone</w:t>
      </w:r>
      <w:r w:rsidR="00363DC9" w:rsidRPr="005C42B3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2C3F1E" w:rsidRPr="005C42B3">
        <w:rPr>
          <w:rFonts w:ascii="Arial" w:eastAsia="Times New Roman" w:hAnsi="Arial" w:cs="Arial"/>
          <w:color w:val="000000" w:themeColor="text1"/>
          <w:lang w:val="en-US" w:eastAsia="en-GB"/>
        </w:rPr>
        <w:t>22394394 (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Nicosia</w:t>
      </w:r>
      <w:r w:rsidR="002C3F1E" w:rsidRPr="005C42B3">
        <w:rPr>
          <w:rFonts w:ascii="Arial" w:eastAsia="Times New Roman" w:hAnsi="Arial" w:cs="Arial"/>
          <w:color w:val="000000" w:themeColor="text1"/>
          <w:lang w:val="en-US" w:eastAsia="en-GB"/>
        </w:rPr>
        <w:t>), 25730975 (</w:t>
      </w:r>
      <w:r>
        <w:rPr>
          <w:rFonts w:ascii="Arial" w:eastAsia="Times New Roman" w:hAnsi="Arial" w:cs="Arial"/>
          <w:color w:val="000000" w:themeColor="text1"/>
          <w:lang w:val="en-US" w:eastAsia="en-GB"/>
        </w:rPr>
        <w:t>Limassol</w:t>
      </w:r>
      <w:r w:rsidR="002C3F1E" w:rsidRPr="005C42B3">
        <w:rPr>
          <w:rFonts w:ascii="Arial" w:eastAsia="Times New Roman" w:hAnsi="Arial" w:cs="Arial"/>
          <w:color w:val="000000" w:themeColor="text1"/>
          <w:lang w:val="en-US" w:eastAsia="en-GB"/>
        </w:rPr>
        <w:t>)</w:t>
      </w:r>
      <w:r w:rsidR="00363DC9" w:rsidRPr="005C42B3">
        <w:rPr>
          <w:rFonts w:ascii="Arial" w:eastAsia="Times New Roman" w:hAnsi="Arial" w:cs="Arial"/>
          <w:color w:val="000000" w:themeColor="text1"/>
          <w:lang w:val="en-US" w:eastAsia="en-GB"/>
        </w:rPr>
        <w:t>.</w:t>
      </w:r>
    </w:p>
    <w:p w14:paraId="5AF8AE1E" w14:textId="3605F1D4" w:rsidR="00846C45" w:rsidRPr="000431F7" w:rsidRDefault="005C42B3" w:rsidP="00363DC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Scholarships</w:t>
      </w:r>
    </w:p>
    <w:p w14:paraId="113CAC56" w14:textId="134678FA" w:rsidR="00363DC9" w:rsidRPr="005C42B3" w:rsidRDefault="005C42B3" w:rsidP="00363DC9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For</w:t>
      </w:r>
      <w:r w:rsidRPr="005C42B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the</w:t>
      </w:r>
      <w:r w:rsidRPr="005C42B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academic</w:t>
      </w:r>
      <w:r w:rsidRPr="005C42B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year</w:t>
      </w:r>
      <w:r w:rsidRPr="005C42B3">
        <w:rPr>
          <w:rFonts w:ascii="Arial" w:hAnsi="Arial" w:cs="Arial"/>
          <w:color w:val="000000" w:themeColor="text1"/>
          <w:lang w:val="en-US"/>
        </w:rPr>
        <w:t xml:space="preserve"> </w:t>
      </w:r>
      <w:r w:rsidR="00363DC9" w:rsidRPr="005C42B3">
        <w:rPr>
          <w:rFonts w:ascii="Arial" w:hAnsi="Arial" w:cs="Arial"/>
          <w:color w:val="000000" w:themeColor="text1"/>
          <w:lang w:val="en-US"/>
        </w:rPr>
        <w:t>202</w:t>
      </w:r>
      <w:r w:rsidR="00EC4D52" w:rsidRPr="005C42B3">
        <w:rPr>
          <w:rFonts w:ascii="Arial" w:hAnsi="Arial" w:cs="Arial"/>
          <w:color w:val="000000" w:themeColor="text1"/>
          <w:lang w:val="en-US"/>
        </w:rPr>
        <w:t>2</w:t>
      </w:r>
      <w:r w:rsidR="00363DC9" w:rsidRPr="005C42B3">
        <w:rPr>
          <w:rFonts w:ascii="Arial" w:hAnsi="Arial" w:cs="Arial"/>
          <w:color w:val="000000" w:themeColor="text1"/>
          <w:lang w:val="en-US"/>
        </w:rPr>
        <w:t>-202</w:t>
      </w:r>
      <w:r w:rsidR="00EC4D52" w:rsidRPr="005C42B3">
        <w:rPr>
          <w:rFonts w:ascii="Arial" w:hAnsi="Arial" w:cs="Arial"/>
          <w:color w:val="000000" w:themeColor="text1"/>
          <w:lang w:val="en-US"/>
        </w:rPr>
        <w:t>3</w:t>
      </w:r>
      <w:r w:rsidR="00F339EE" w:rsidRPr="005C42B3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 xml:space="preserve">the following scholarships will be </w:t>
      </w:r>
      <w:r w:rsidR="000431F7">
        <w:rPr>
          <w:rFonts w:ascii="Arial" w:hAnsi="Arial" w:cs="Arial"/>
          <w:color w:val="000000" w:themeColor="text1"/>
          <w:lang w:val="en-US"/>
        </w:rPr>
        <w:t>awarded</w:t>
      </w:r>
      <w:r w:rsidR="00363DC9" w:rsidRPr="005C42B3">
        <w:rPr>
          <w:rFonts w:ascii="Arial" w:hAnsi="Arial" w:cs="Arial"/>
          <w:color w:val="000000" w:themeColor="text1"/>
          <w:lang w:val="en-US"/>
        </w:rPr>
        <w:t xml:space="preserve">: </w:t>
      </w:r>
      <w:r w:rsidR="008D1419" w:rsidRPr="005C42B3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027E2207" w14:textId="016E5213" w:rsidR="00A54C21" w:rsidRPr="00CB25F3" w:rsidRDefault="00363DC9" w:rsidP="00363DC9">
      <w:pPr>
        <w:jc w:val="both"/>
        <w:rPr>
          <w:rFonts w:ascii="Arial" w:hAnsi="Arial" w:cs="Arial"/>
          <w:b/>
          <w:color w:val="000000" w:themeColor="text1"/>
          <w:u w:val="single"/>
          <w:lang w:val="el-GR"/>
        </w:rPr>
      </w:pPr>
      <w:r w:rsidRPr="00CB25F3">
        <w:rPr>
          <w:rFonts w:ascii="Arial" w:hAnsi="Arial" w:cs="Arial"/>
          <w:b/>
          <w:color w:val="000000" w:themeColor="text1"/>
          <w:u w:val="single"/>
        </w:rPr>
        <w:t>Frederick</w:t>
      </w:r>
      <w:r w:rsidR="005C42B3">
        <w:rPr>
          <w:rFonts w:ascii="Arial" w:hAnsi="Arial" w:cs="Arial"/>
          <w:b/>
          <w:color w:val="000000" w:themeColor="text1"/>
          <w:u w:val="single"/>
        </w:rPr>
        <w:t xml:space="preserve"> University</w:t>
      </w:r>
    </w:p>
    <w:p w14:paraId="41CCDB32" w14:textId="482B0BFC" w:rsidR="00592E5B" w:rsidRPr="005C42B3" w:rsidRDefault="005C42B3" w:rsidP="00592E5B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Two</w:t>
      </w:r>
      <w:r w:rsidR="002C3F1E"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(2)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full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scholarships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3E23C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new</w:t>
      </w:r>
      <w:r w:rsidR="003E23C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in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coming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undergraduate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students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academic</w:t>
      </w:r>
      <w:r w:rsidRPr="005C42B3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year</w:t>
      </w:r>
      <w:r w:rsidR="002C3F1E" w:rsidRPr="005C42B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2C3F1E"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</w:t>
      </w:r>
      <w:r w:rsidR="00EC4D52"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</w:t>
      </w:r>
      <w:r w:rsidR="002C3F1E"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-202</w:t>
      </w:r>
      <w:r w:rsidR="00EC4D52"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3</w:t>
      </w:r>
      <w:r w:rsidR="002C3F1E" w:rsidRPr="005C42B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with the possibility of renewal for the whole duration of studies</w:t>
      </w:r>
      <w:r w:rsidR="00A54C21" w:rsidRPr="005C42B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14:paraId="6B01F47D" w14:textId="77777777" w:rsidR="00592E5B" w:rsidRPr="00CB25F3" w:rsidRDefault="00592E5B" w:rsidP="00592E5B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CB25F3">
        <w:rPr>
          <w:rFonts w:ascii="Arial" w:hAnsi="Arial" w:cs="Arial"/>
          <w:b/>
          <w:color w:val="000000" w:themeColor="text1"/>
          <w:u w:val="single"/>
        </w:rPr>
        <w:t>Frederick Institute of Technology (FIT)</w:t>
      </w:r>
    </w:p>
    <w:p w14:paraId="2E991DF7" w14:textId="36779618" w:rsidR="00911AE6" w:rsidRPr="005C42B3" w:rsidRDefault="005C42B3" w:rsidP="003954DA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One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92E5B"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(1)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full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scholarship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E23C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new</w:t>
      </w:r>
      <w:r w:rsidR="003E23C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in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coming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student</w:t>
      </w:r>
      <w:r w:rsidRPr="005C42B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</w:t>
      </w:r>
      <w:r w:rsidRPr="007F64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7F64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academic</w:t>
      </w:r>
      <w:r w:rsidRPr="007F64B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F64B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year 2022-2023,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with the possibility of renewal for the whole duration of studies</w:t>
      </w:r>
      <w:r w:rsidR="00B22CD6" w:rsidRPr="005C42B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178FB7" w14:textId="407A917B" w:rsidR="003954DA" w:rsidRPr="005C42B3" w:rsidRDefault="005C42B3" w:rsidP="003954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Criteria for renewal and scholarship percentages</w:t>
      </w:r>
      <w:r w:rsidR="003954DA" w:rsidRPr="005C42B3">
        <w:rPr>
          <w:rFonts w:ascii="Arial" w:eastAsia="Times New Roman" w:hAnsi="Arial" w:cs="Arial"/>
          <w:b/>
          <w:bCs/>
          <w:caps/>
          <w:color w:val="000000" w:themeColor="text1"/>
          <w:lang w:eastAsia="en-GB"/>
        </w:rPr>
        <w:t xml:space="preserve"> </w:t>
      </w:r>
    </w:p>
    <w:p w14:paraId="05F13880" w14:textId="5BA6B3C5" w:rsidR="003954DA" w:rsidRPr="002319C1" w:rsidRDefault="005C42B3" w:rsidP="003954D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US"/>
        </w:rPr>
        <w:t>After</w:t>
      </w:r>
      <w:r w:rsidRPr="002319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the</w:t>
      </w:r>
      <w:r w:rsidRPr="002319C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academic</w:t>
      </w:r>
      <w:r w:rsidRPr="002319C1">
        <w:rPr>
          <w:rFonts w:ascii="Arial" w:hAnsi="Arial" w:cs="Arial"/>
          <w:color w:val="000000" w:themeColor="text1"/>
        </w:rPr>
        <w:t xml:space="preserve"> </w:t>
      </w:r>
      <w:r w:rsidR="002319C1">
        <w:rPr>
          <w:rFonts w:ascii="Arial" w:hAnsi="Arial" w:cs="Arial"/>
          <w:color w:val="000000" w:themeColor="text1"/>
          <w:lang w:val="en-US"/>
        </w:rPr>
        <w:t>year</w:t>
      </w:r>
      <w:r w:rsidR="002319C1" w:rsidRPr="002319C1">
        <w:rPr>
          <w:rFonts w:ascii="Arial" w:hAnsi="Arial" w:cs="Arial"/>
          <w:color w:val="000000" w:themeColor="text1"/>
        </w:rPr>
        <w:t xml:space="preserve"> 2022-23, </w:t>
      </w:r>
      <w:r w:rsidR="002319C1" w:rsidRPr="007F64B0">
        <w:rPr>
          <w:rFonts w:ascii="Arial" w:hAnsi="Arial" w:cs="Arial"/>
          <w:color w:val="000000" w:themeColor="text1"/>
          <w:lang w:val="en-US"/>
        </w:rPr>
        <w:t>the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scholarship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will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be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renewed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every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semester</w:t>
      </w:r>
      <w:r w:rsidR="002319C1" w:rsidRPr="007F64B0">
        <w:rPr>
          <w:rFonts w:ascii="Arial" w:hAnsi="Arial" w:cs="Arial"/>
          <w:color w:val="000000" w:themeColor="text1"/>
        </w:rPr>
        <w:t xml:space="preserve"> </w:t>
      </w:r>
      <w:r w:rsidR="002319C1" w:rsidRPr="007F64B0">
        <w:rPr>
          <w:rFonts w:ascii="Arial" w:hAnsi="Arial" w:cs="Arial"/>
          <w:color w:val="000000" w:themeColor="text1"/>
          <w:lang w:val="en-US"/>
        </w:rPr>
        <w:t>taking into consideration the overall performance</w:t>
      </w:r>
      <w:r w:rsidR="003954DA" w:rsidRPr="007F64B0">
        <w:rPr>
          <w:rFonts w:ascii="Arial" w:hAnsi="Arial" w:cs="Arial"/>
          <w:color w:val="000000" w:themeColor="text1"/>
        </w:rPr>
        <w:t xml:space="preserve"> (</w:t>
      </w:r>
      <w:r w:rsidR="007F64B0" w:rsidRPr="007F64B0">
        <w:rPr>
          <w:rFonts w:ascii="Arial" w:hAnsi="Arial" w:cs="Arial"/>
          <w:color w:val="000000" w:themeColor="text1"/>
        </w:rPr>
        <w:t>CGPA</w:t>
      </w:r>
      <w:r w:rsidR="003954DA" w:rsidRPr="007F64B0">
        <w:rPr>
          <w:rFonts w:ascii="Arial" w:hAnsi="Arial" w:cs="Arial"/>
          <w:color w:val="000000" w:themeColor="text1"/>
        </w:rPr>
        <w:t xml:space="preserve">) </w:t>
      </w:r>
      <w:r w:rsidR="002319C1" w:rsidRPr="007F64B0">
        <w:rPr>
          <w:rFonts w:ascii="Arial" w:hAnsi="Arial" w:cs="Arial"/>
          <w:color w:val="000000" w:themeColor="text1"/>
        </w:rPr>
        <w:t>of the</w:t>
      </w:r>
      <w:r w:rsidR="002319C1">
        <w:rPr>
          <w:rFonts w:ascii="Arial" w:hAnsi="Arial" w:cs="Arial"/>
          <w:color w:val="000000" w:themeColor="text1"/>
        </w:rPr>
        <w:t xml:space="preserve"> students </w:t>
      </w:r>
      <w:r w:rsidR="003E23C1">
        <w:rPr>
          <w:rFonts w:ascii="Arial" w:hAnsi="Arial" w:cs="Arial"/>
          <w:color w:val="000000" w:themeColor="text1"/>
        </w:rPr>
        <w:t>in</w:t>
      </w:r>
      <w:r w:rsidR="002319C1">
        <w:rPr>
          <w:rFonts w:ascii="Arial" w:hAnsi="Arial" w:cs="Arial"/>
          <w:color w:val="000000" w:themeColor="text1"/>
        </w:rPr>
        <w:t xml:space="preserve"> the </w:t>
      </w:r>
      <w:r w:rsidR="007F64B0">
        <w:rPr>
          <w:rFonts w:ascii="Arial" w:hAnsi="Arial" w:cs="Arial"/>
          <w:color w:val="000000" w:themeColor="text1"/>
        </w:rPr>
        <w:t>previous</w:t>
      </w:r>
      <w:r w:rsidR="002319C1">
        <w:rPr>
          <w:rFonts w:ascii="Arial" w:hAnsi="Arial" w:cs="Arial"/>
          <w:color w:val="000000" w:themeColor="text1"/>
        </w:rPr>
        <w:t xml:space="preserve"> academic semester and according to the following </w:t>
      </w:r>
      <w:r w:rsidR="003E23C1">
        <w:rPr>
          <w:rFonts w:ascii="Arial" w:hAnsi="Arial" w:cs="Arial"/>
          <w:color w:val="000000" w:themeColor="text1"/>
        </w:rPr>
        <w:t>table</w:t>
      </w:r>
      <w:r w:rsidR="002319C1">
        <w:rPr>
          <w:rFonts w:ascii="Arial" w:hAnsi="Arial" w:cs="Arial"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650"/>
      </w:tblGrid>
      <w:tr w:rsidR="003954DA" w:rsidRPr="003954DA" w14:paraId="58BDC0FA" w14:textId="77777777" w:rsidTr="003954DA">
        <w:tc>
          <w:tcPr>
            <w:tcW w:w="3539" w:type="dxa"/>
          </w:tcPr>
          <w:p w14:paraId="121131E3" w14:textId="6DAE116D" w:rsidR="003954DA" w:rsidRPr="002319C1" w:rsidRDefault="003954DA" w:rsidP="00CB2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FREDERICK</w:t>
            </w:r>
            <w:r w:rsidR="002319C1">
              <w:rPr>
                <w:rFonts w:ascii="Arial" w:hAnsi="Arial" w:cs="Arial"/>
                <w:color w:val="000000" w:themeColor="text1"/>
                <w:lang w:val="en-US"/>
              </w:rPr>
              <w:t xml:space="preserve"> UNIVERSITY</w:t>
            </w:r>
          </w:p>
          <w:p w14:paraId="38B38B76" w14:textId="686BC97B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CGPA</w:t>
            </w:r>
          </w:p>
        </w:tc>
        <w:tc>
          <w:tcPr>
            <w:tcW w:w="3827" w:type="dxa"/>
          </w:tcPr>
          <w:p w14:paraId="5AF9F7F8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 xml:space="preserve">FREDERICK INSTITUTE OF TECHNOLOGY </w:t>
            </w:r>
          </w:p>
          <w:p w14:paraId="42AAD796" w14:textId="0A1D5B50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CGPA</w:t>
            </w:r>
          </w:p>
        </w:tc>
        <w:tc>
          <w:tcPr>
            <w:tcW w:w="1650" w:type="dxa"/>
          </w:tcPr>
          <w:p w14:paraId="14A9FF8F" w14:textId="641C371B" w:rsidR="003954DA" w:rsidRPr="002319C1" w:rsidRDefault="002319C1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Scholarship Percentage</w:t>
            </w:r>
          </w:p>
        </w:tc>
      </w:tr>
      <w:tr w:rsidR="003954DA" w:rsidRPr="003954DA" w14:paraId="3882EACA" w14:textId="77777777" w:rsidTr="003954DA">
        <w:tc>
          <w:tcPr>
            <w:tcW w:w="3539" w:type="dxa"/>
          </w:tcPr>
          <w:p w14:paraId="02A12139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08.00 – 10.00</w:t>
            </w:r>
          </w:p>
        </w:tc>
        <w:tc>
          <w:tcPr>
            <w:tcW w:w="3827" w:type="dxa"/>
          </w:tcPr>
          <w:p w14:paraId="7A84387B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3.00 – 4.00</w:t>
            </w:r>
          </w:p>
        </w:tc>
        <w:tc>
          <w:tcPr>
            <w:tcW w:w="1650" w:type="dxa"/>
          </w:tcPr>
          <w:p w14:paraId="3D77D068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100%</w:t>
            </w:r>
          </w:p>
        </w:tc>
      </w:tr>
      <w:tr w:rsidR="003954DA" w:rsidRPr="003954DA" w14:paraId="70D61813" w14:textId="77777777" w:rsidTr="003954DA">
        <w:tc>
          <w:tcPr>
            <w:tcW w:w="3539" w:type="dxa"/>
          </w:tcPr>
          <w:p w14:paraId="11762C64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07.00 – 07.99</w:t>
            </w:r>
          </w:p>
        </w:tc>
        <w:tc>
          <w:tcPr>
            <w:tcW w:w="3827" w:type="dxa"/>
          </w:tcPr>
          <w:p w14:paraId="7D91A61B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2.50 – 2.99</w:t>
            </w:r>
          </w:p>
        </w:tc>
        <w:tc>
          <w:tcPr>
            <w:tcW w:w="1650" w:type="dxa"/>
          </w:tcPr>
          <w:p w14:paraId="579E5956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75%</w:t>
            </w:r>
          </w:p>
        </w:tc>
      </w:tr>
      <w:tr w:rsidR="003954DA" w:rsidRPr="003954DA" w14:paraId="144FA625" w14:textId="77777777" w:rsidTr="003954DA">
        <w:tc>
          <w:tcPr>
            <w:tcW w:w="3539" w:type="dxa"/>
          </w:tcPr>
          <w:p w14:paraId="606676F4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06.00 – 06.99</w:t>
            </w:r>
          </w:p>
        </w:tc>
        <w:tc>
          <w:tcPr>
            <w:tcW w:w="3827" w:type="dxa"/>
          </w:tcPr>
          <w:p w14:paraId="55EE57C4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2.00 – 2.49</w:t>
            </w:r>
          </w:p>
        </w:tc>
        <w:tc>
          <w:tcPr>
            <w:tcW w:w="1650" w:type="dxa"/>
          </w:tcPr>
          <w:p w14:paraId="33A9CDF9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50%</w:t>
            </w:r>
          </w:p>
        </w:tc>
      </w:tr>
      <w:tr w:rsidR="003954DA" w:rsidRPr="003954DA" w14:paraId="6B6C2BC4" w14:textId="77777777" w:rsidTr="003954DA">
        <w:tc>
          <w:tcPr>
            <w:tcW w:w="3539" w:type="dxa"/>
          </w:tcPr>
          <w:p w14:paraId="4EA5A75E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05.00 – 05.99</w:t>
            </w:r>
          </w:p>
        </w:tc>
        <w:tc>
          <w:tcPr>
            <w:tcW w:w="3827" w:type="dxa"/>
          </w:tcPr>
          <w:p w14:paraId="44129764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1.00 – 1.99</w:t>
            </w:r>
          </w:p>
        </w:tc>
        <w:tc>
          <w:tcPr>
            <w:tcW w:w="1650" w:type="dxa"/>
          </w:tcPr>
          <w:p w14:paraId="1846B3CB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25%</w:t>
            </w:r>
          </w:p>
        </w:tc>
      </w:tr>
      <w:tr w:rsidR="003954DA" w:rsidRPr="003954DA" w14:paraId="7D1EB389" w14:textId="77777777" w:rsidTr="003954DA">
        <w:tc>
          <w:tcPr>
            <w:tcW w:w="3539" w:type="dxa"/>
          </w:tcPr>
          <w:p w14:paraId="2FD7E0CF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 – 4,99</w:t>
            </w:r>
          </w:p>
        </w:tc>
        <w:tc>
          <w:tcPr>
            <w:tcW w:w="3827" w:type="dxa"/>
          </w:tcPr>
          <w:p w14:paraId="07D8408A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3954DA">
              <w:rPr>
                <w:rFonts w:ascii="Arial" w:hAnsi="Arial" w:cs="Arial"/>
                <w:color w:val="000000" w:themeColor="text1"/>
                <w:lang w:val="en-US"/>
              </w:rPr>
              <w:t>0 – 0.99</w:t>
            </w:r>
          </w:p>
        </w:tc>
        <w:tc>
          <w:tcPr>
            <w:tcW w:w="1650" w:type="dxa"/>
          </w:tcPr>
          <w:p w14:paraId="0E30B1B9" w14:textId="77777777" w:rsidR="003954DA" w:rsidRPr="003954DA" w:rsidRDefault="003954DA" w:rsidP="00CB26DB">
            <w:pPr>
              <w:jc w:val="center"/>
              <w:rPr>
                <w:rFonts w:ascii="Arial" w:hAnsi="Arial" w:cs="Arial"/>
                <w:color w:val="000000" w:themeColor="text1"/>
                <w:lang w:val="el-GR"/>
              </w:rPr>
            </w:pPr>
            <w:r w:rsidRPr="003954DA">
              <w:rPr>
                <w:rFonts w:ascii="Arial" w:hAnsi="Arial" w:cs="Arial"/>
                <w:color w:val="000000" w:themeColor="text1"/>
                <w:lang w:val="el-GR"/>
              </w:rPr>
              <w:t>0</w:t>
            </w:r>
          </w:p>
        </w:tc>
      </w:tr>
    </w:tbl>
    <w:p w14:paraId="1DDA8ADA" w14:textId="2344C78F" w:rsidR="003954DA" w:rsidRDefault="003954DA" w:rsidP="003954DA">
      <w:pPr>
        <w:jc w:val="both"/>
        <w:rPr>
          <w:rFonts w:ascii="Arial" w:hAnsi="Arial" w:cs="Arial"/>
          <w:color w:val="000000" w:themeColor="text1"/>
          <w:lang w:val="el-GR"/>
        </w:rPr>
      </w:pPr>
    </w:p>
    <w:p w14:paraId="20A874F8" w14:textId="77777777" w:rsidR="007F64B0" w:rsidRPr="003954DA" w:rsidRDefault="007F64B0" w:rsidP="003954DA">
      <w:pPr>
        <w:jc w:val="both"/>
        <w:rPr>
          <w:rFonts w:ascii="Arial" w:hAnsi="Arial" w:cs="Arial"/>
          <w:color w:val="000000" w:themeColor="text1"/>
          <w:lang w:val="el-GR"/>
        </w:rPr>
      </w:pPr>
    </w:p>
    <w:p w14:paraId="640D9F3D" w14:textId="799C1486" w:rsidR="00E60793" w:rsidRPr="002319C1" w:rsidRDefault="002319C1" w:rsidP="00E6079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lastRenderedPageBreak/>
        <w:t>TERMS</w:t>
      </w:r>
      <w:r w:rsidRPr="002319C1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AND</w:t>
      </w:r>
      <w:r w:rsidRPr="002319C1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CONDITIONS</w:t>
      </w:r>
      <w:r w:rsidRPr="002319C1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</w:p>
    <w:p w14:paraId="79A2E363" w14:textId="476C43A1" w:rsidR="00E60793" w:rsidRPr="002319C1" w:rsidRDefault="00E60793" w:rsidP="00E60793">
      <w:p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1.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scholarships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are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awarded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on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condition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that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those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interested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meet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admission</w:t>
      </w:r>
      <w:r w:rsidR="002319C1" w:rsidRPr="002319C1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2319C1">
        <w:rPr>
          <w:rFonts w:ascii="Arial" w:hAnsi="Arial" w:cs="Arial"/>
          <w:color w:val="000000"/>
          <w:shd w:val="clear" w:color="auto" w:fill="FFFFFF"/>
          <w:lang w:val="en-US"/>
        </w:rPr>
        <w:t>criteria of the study program of their choice</w:t>
      </w:r>
      <w:r w:rsidRPr="002319C1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14:paraId="46A98FB7" w14:textId="622977D0" w:rsidR="00F553A7" w:rsidRPr="00FA5CEE" w:rsidRDefault="00E1697A" w:rsidP="00E60793">
      <w:pPr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2</w:t>
      </w:r>
      <w:r w:rsidR="00F553A7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.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Eligible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applicants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are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people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coming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from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families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with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a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per</w:t>
      </w:r>
      <w:r w:rsidR="00DB2C1B" w:rsidRP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capita family income of up </w:t>
      </w:r>
      <w:r w:rsidR="003E23C1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t</w:t>
      </w:r>
      <w:r w:rsidR="00DB2C1B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o 12,000 euros</w:t>
      </w:r>
      <w:r w:rsidR="00F553A7" w:rsidRPr="00DB2C1B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bookmarkStart w:id="1" w:name="_Hlk110864871"/>
      <w:r w:rsidR="00FA5CEE" w:rsidRPr="00FA5CEE">
        <w:rPr>
          <w:rFonts w:ascii="Arial" w:hAnsi="Arial" w:cs="Arial"/>
          <w:color w:val="000000"/>
          <w:shd w:val="clear" w:color="auto" w:fill="FFFFFF"/>
          <w:lang w:val="en-US"/>
        </w:rPr>
        <w:t>In calculating the per capita income, the parents and dependent children of the family are taken into account</w:t>
      </w:r>
      <w:bookmarkEnd w:id="1"/>
      <w:r w:rsidR="00FA5CEE" w:rsidRPr="00FA5CEE">
        <w:rPr>
          <w:rFonts w:ascii="Arial" w:hAnsi="Arial" w:cs="Arial"/>
          <w:color w:val="000000"/>
          <w:shd w:val="clear" w:color="auto" w:fill="FFFFFF"/>
          <w:lang w:val="en-US"/>
        </w:rPr>
        <w:t>. (Dependent children include children under the age of 18,</w:t>
      </w:r>
      <w:r w:rsidR="00FA5CEE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7F64B0">
        <w:rPr>
          <w:rFonts w:ascii="Arial" w:hAnsi="Arial" w:cs="Arial"/>
          <w:color w:val="000000"/>
          <w:shd w:val="clear" w:color="auto" w:fill="FFFFFF"/>
          <w:lang w:val="en-US"/>
        </w:rPr>
        <w:t xml:space="preserve">or above the age of 18 </w:t>
      </w:r>
      <w:r w:rsidR="007F64B0" w:rsidRPr="007F64B0">
        <w:rPr>
          <w:rFonts w:ascii="Arial" w:hAnsi="Arial" w:cs="Arial"/>
          <w:color w:val="000000"/>
          <w:shd w:val="clear" w:color="auto" w:fill="FFFFFF"/>
          <w:lang w:val="en-US"/>
        </w:rPr>
        <w:t>who are in full-time education or in mandatory military service</w:t>
      </w:r>
      <w:r w:rsidR="00FA5CEE" w:rsidRPr="00FA5CEE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14:paraId="7A5FD0BE" w14:textId="13AACA17" w:rsidR="00E1697A" w:rsidRPr="00FA5CEE" w:rsidRDefault="00E1697A" w:rsidP="00E1697A">
      <w:pPr>
        <w:jc w:val="both"/>
        <w:rPr>
          <w:rFonts w:ascii="Arial" w:hAnsi="Arial" w:cs="Arial"/>
          <w:lang w:val="en-US"/>
        </w:rPr>
      </w:pPr>
      <w:r w:rsidRP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3. </w:t>
      </w:r>
      <w:r w:rsid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Eligible</w:t>
      </w:r>
      <w:r w:rsidR="00FA5CEE" w:rsidRP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scholarship</w:t>
      </w:r>
      <w:r w:rsidR="00FA5CEE" w:rsidRP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applicants</w:t>
      </w:r>
      <w:r w:rsidR="00FA5CEE" w:rsidRP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 xml:space="preserve"> </w:t>
      </w:r>
      <w:r w:rsidR="00FA5CEE">
        <w:rPr>
          <w:rFonts w:ascii="Arial" w:hAnsi="Arial" w:cs="Arial"/>
          <w:bCs/>
          <w:color w:val="000000" w:themeColor="text1"/>
          <w:shd w:val="clear" w:color="auto" w:fill="FFFFFF"/>
          <w:lang w:val="en-US"/>
        </w:rPr>
        <w:t>are</w:t>
      </w:r>
      <w:r w:rsidRPr="00FA5CEE">
        <w:rPr>
          <w:rFonts w:ascii="Arial" w:hAnsi="Arial" w:cs="Arial"/>
          <w:lang w:val="en-US"/>
        </w:rPr>
        <w:t xml:space="preserve">: </w:t>
      </w:r>
    </w:p>
    <w:p w14:paraId="48D80E52" w14:textId="2AE59E4A" w:rsidR="00E1697A" w:rsidRPr="00FA5CEE" w:rsidRDefault="00FA5CEE" w:rsidP="00E169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People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who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2" w:name="_Hlk110865078"/>
      <w:r>
        <w:rPr>
          <w:rFonts w:ascii="Arial" w:hAnsi="Arial" w:cs="Arial"/>
          <w:sz w:val="22"/>
          <w:szCs w:val="22"/>
          <w:lang w:val="en-US"/>
        </w:rPr>
        <w:t>hold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Cypriot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citizenship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and</w:t>
      </w:r>
      <w:r w:rsidRPr="00FA5CEE">
        <w:rPr>
          <w:rFonts w:ascii="Arial" w:hAnsi="Arial" w:cs="Arial"/>
          <w:sz w:val="22"/>
          <w:szCs w:val="22"/>
          <w:lang w:val="en-US"/>
        </w:rPr>
        <w:t>/</w:t>
      </w:r>
      <w:r>
        <w:rPr>
          <w:rFonts w:ascii="Arial" w:hAnsi="Arial" w:cs="Arial"/>
          <w:sz w:val="22"/>
          <w:szCs w:val="22"/>
          <w:lang w:val="en-US"/>
        </w:rPr>
        <w:t>or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citizens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member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state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European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Union</w:t>
      </w:r>
      <w:bookmarkEnd w:id="2"/>
      <w:r w:rsidRPr="00FA5CEE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provided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that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period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three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years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prior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to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start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their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studies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they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have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resided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in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Cyprus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continuous</w:t>
      </w:r>
      <w:r w:rsidRPr="00FA5CEE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period of at least thirty (30) months and continue to reside in Cyprus during the period of submission of their application</w:t>
      </w:r>
      <w:r w:rsidR="00E1697A" w:rsidRPr="00FA5CEE">
        <w:rPr>
          <w:rFonts w:ascii="Arial" w:hAnsi="Arial" w:cs="Arial"/>
          <w:sz w:val="22"/>
          <w:szCs w:val="22"/>
          <w:lang w:val="en-US"/>
        </w:rPr>
        <w:t>.</w:t>
      </w:r>
    </w:p>
    <w:p w14:paraId="63742943" w14:textId="516B9ED4" w:rsidR="00E1697A" w:rsidRPr="00DB234A" w:rsidRDefault="00DB234A" w:rsidP="00E607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People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who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are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not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Cypriot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citizens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or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citizens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member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state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of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European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Union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provided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that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they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reside</w:t>
      </w:r>
      <w:r w:rsidRPr="00DB234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permanently in Cyprus and have graduated from a Secondary School in Cyprus</w:t>
      </w:r>
      <w:r w:rsidR="00E1697A" w:rsidRPr="00DB234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08B2FC87" w14:textId="6B91CAE8" w:rsidR="00F40897" w:rsidRPr="00DB234A" w:rsidRDefault="00F40897" w:rsidP="002C3F1E">
      <w:pPr>
        <w:jc w:val="both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4.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Scholarships</w:t>
      </w:r>
      <w:r w:rsidR="00DB234A"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are</w:t>
      </w:r>
      <w:r w:rsidR="00DB234A"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not</w:t>
      </w:r>
      <w:r w:rsidR="00DB234A"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retroactive</w:t>
      </w:r>
      <w:r w:rsidR="00DB234A"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nor</w:t>
      </w:r>
      <w:r w:rsidR="00DB234A" w:rsidRPr="00DB234A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can they be combined with any other scholarship or discount offered by Frederick University or Frederick Institute of Technology</w:t>
      </w:r>
      <w:r w:rsidRPr="00DB234A">
        <w:rPr>
          <w:rFonts w:ascii="Arial" w:hAnsi="Arial" w:cs="Arial"/>
          <w:lang w:val="en-US"/>
        </w:rPr>
        <w:t>.</w:t>
      </w:r>
    </w:p>
    <w:p w14:paraId="558E79C5" w14:textId="1CD20073" w:rsidR="00926CA4" w:rsidRPr="000431F7" w:rsidRDefault="00DB234A" w:rsidP="00926CA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Application</w:t>
      </w:r>
      <w:r w:rsidRPr="000431F7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submission</w:t>
      </w:r>
    </w:p>
    <w:p w14:paraId="5D29FCE3" w14:textId="76B1B3B5" w:rsidR="00852A92" w:rsidRDefault="00926CA4" w:rsidP="00C15A0C">
      <w:pPr>
        <w:rPr>
          <w:rFonts w:ascii="Arial" w:hAnsi="Arial" w:cs="Arial"/>
          <w:color w:val="000000"/>
          <w:shd w:val="clear" w:color="auto" w:fill="FFFFFF"/>
          <w:lang w:val="en-US"/>
        </w:rPr>
      </w:pPr>
      <w:r w:rsidRPr="00DB234A">
        <w:rPr>
          <w:rFonts w:ascii="Arial" w:hAnsi="Arial" w:cs="Arial"/>
          <w:color w:val="000000"/>
          <w:shd w:val="clear" w:color="auto" w:fill="FFFFFF"/>
          <w:lang w:val="en-US"/>
        </w:rPr>
        <w:t>1.</w:t>
      </w:r>
      <w:r w:rsidR="00852A92">
        <w:rPr>
          <w:rFonts w:ascii="Arial" w:hAnsi="Arial" w:cs="Arial"/>
          <w:color w:val="000000"/>
          <w:shd w:val="clear" w:color="auto" w:fill="FFFFFF"/>
          <w:lang w:val="en-US"/>
        </w:rPr>
        <w:t xml:space="preserve"> I</w:t>
      </w:r>
      <w:r w:rsidR="00852A92" w:rsidRPr="00852A92">
        <w:rPr>
          <w:rFonts w:ascii="Arial" w:hAnsi="Arial" w:cs="Arial"/>
          <w:color w:val="000000"/>
          <w:shd w:val="clear" w:color="auto" w:fill="FFFFFF"/>
          <w:lang w:val="en-US"/>
        </w:rPr>
        <w:t xml:space="preserve">nterested candidates are required to complete the </w:t>
      </w:r>
      <w:r w:rsidR="00852A92" w:rsidRPr="004C4D74">
        <w:rPr>
          <w:rFonts w:ascii="Arial" w:hAnsi="Arial" w:cs="Arial"/>
          <w:color w:val="000000"/>
          <w:highlight w:val="yellow"/>
          <w:u w:val="single"/>
          <w:shd w:val="clear" w:color="auto" w:fill="FFFFFF"/>
          <w:lang w:val="en-US"/>
        </w:rPr>
        <w:t>scholarship application form.</w:t>
      </w:r>
    </w:p>
    <w:p w14:paraId="6851662B" w14:textId="6CAB2594" w:rsidR="00E60793" w:rsidRPr="00DC6DEC" w:rsidRDefault="00926CA4" w:rsidP="00C15A0C">
      <w:pPr>
        <w:rPr>
          <w:rFonts w:ascii="Arial" w:eastAsia="Times New Roman" w:hAnsi="Arial" w:cs="Arial"/>
          <w:b/>
          <w:bCs/>
          <w:caps/>
          <w:color w:val="FF0000"/>
          <w:lang w:val="en-US" w:eastAsia="en-GB"/>
        </w:rPr>
      </w:pPr>
      <w:r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2.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completed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applications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with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the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B234A">
        <w:rPr>
          <w:rFonts w:ascii="Arial" w:hAnsi="Arial" w:cs="Arial"/>
          <w:color w:val="000000"/>
          <w:shd w:val="clear" w:color="auto" w:fill="FFFFFF"/>
          <w:lang w:val="en-US"/>
        </w:rPr>
        <w:t>required</w:t>
      </w:r>
      <w:r w:rsidR="00DB234A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4C4D74">
        <w:rPr>
          <w:rFonts w:ascii="Arial" w:hAnsi="Arial" w:cs="Arial"/>
          <w:color w:val="000000"/>
          <w:shd w:val="clear" w:color="auto" w:fill="FFFFFF"/>
          <w:lang w:val="en-US"/>
        </w:rPr>
        <w:t>documentation</w:t>
      </w:r>
      <w:r w:rsidR="00F40897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C6DEC">
        <w:rPr>
          <w:rFonts w:ascii="Arial" w:hAnsi="Arial" w:cs="Arial"/>
          <w:color w:val="000000"/>
          <w:shd w:val="clear" w:color="auto" w:fill="FFFFFF"/>
          <w:lang w:val="en-US"/>
        </w:rPr>
        <w:t>should</w:t>
      </w:r>
      <w:r w:rsidR="00DC6DEC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C6DEC">
        <w:rPr>
          <w:rFonts w:ascii="Arial" w:hAnsi="Arial" w:cs="Arial"/>
          <w:color w:val="000000"/>
          <w:shd w:val="clear" w:color="auto" w:fill="FFFFFF"/>
          <w:lang w:val="en-US"/>
        </w:rPr>
        <w:t>be</w:t>
      </w:r>
      <w:r w:rsidR="00DC6DEC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r w:rsidR="00DC6DEC">
        <w:rPr>
          <w:rFonts w:ascii="Arial" w:hAnsi="Arial" w:cs="Arial"/>
          <w:color w:val="000000"/>
          <w:shd w:val="clear" w:color="auto" w:fill="FFFFFF"/>
          <w:lang w:val="en-US"/>
        </w:rPr>
        <w:t>submitted electronically at</w:t>
      </w:r>
      <w:r w:rsidR="00B44925" w:rsidRPr="00DC6DEC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  <w:hyperlink r:id="rId8" w:history="1">
        <w:r w:rsidR="00386E55" w:rsidRPr="00DC6DEC">
          <w:rPr>
            <w:rStyle w:val="Hyperlink"/>
            <w:rFonts w:ascii="Arial" w:hAnsi="Arial" w:cs="Arial"/>
            <w:lang w:val="en-US"/>
          </w:rPr>
          <w:t>mfscholarships@frederick.ac.cy</w:t>
        </w:r>
      </w:hyperlink>
      <w:r w:rsidR="00386E55" w:rsidRPr="00DC6DEC">
        <w:rPr>
          <w:rFonts w:ascii="Arial" w:hAnsi="Arial" w:cs="Arial"/>
          <w:lang w:val="en-US"/>
        </w:rPr>
        <w:t xml:space="preserve"> </w:t>
      </w:r>
      <w:r w:rsidR="00DC6DEC">
        <w:rPr>
          <w:rFonts w:ascii="Arial" w:hAnsi="Arial" w:cs="Arial"/>
          <w:lang w:val="en-US"/>
        </w:rPr>
        <w:t>by Monday</w:t>
      </w:r>
      <w:r w:rsidR="004C4D74">
        <w:rPr>
          <w:rFonts w:ascii="Arial" w:hAnsi="Arial" w:cs="Arial"/>
          <w:lang w:val="en-US"/>
        </w:rPr>
        <w:t>,</w:t>
      </w:r>
      <w:r w:rsidR="00DC6DEC">
        <w:rPr>
          <w:rFonts w:ascii="Arial" w:hAnsi="Arial" w:cs="Arial"/>
          <w:lang w:val="en-US"/>
        </w:rPr>
        <w:t xml:space="preserve"> 5</w:t>
      </w:r>
      <w:r w:rsidR="00DC6DEC" w:rsidRPr="00DC6DEC">
        <w:rPr>
          <w:rFonts w:ascii="Arial" w:hAnsi="Arial" w:cs="Arial"/>
          <w:vertAlign w:val="superscript"/>
          <w:lang w:val="en-US"/>
        </w:rPr>
        <w:t>th</w:t>
      </w:r>
      <w:r w:rsidR="00DC6DEC">
        <w:rPr>
          <w:rFonts w:ascii="Arial" w:hAnsi="Arial" w:cs="Arial"/>
          <w:lang w:val="en-US"/>
        </w:rPr>
        <w:t xml:space="preserve"> of September 2022</w:t>
      </w:r>
      <w:r w:rsidR="00EC4D52" w:rsidRPr="00DC6DEC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14:paraId="15C96E98" w14:textId="2DA1D251" w:rsidR="003954DA" w:rsidRPr="000431F7" w:rsidRDefault="00DC6DEC" w:rsidP="003954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EVALUATION</w:t>
      </w:r>
      <w:r w:rsidRPr="000431F7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SELECTION</w:t>
      </w:r>
      <w:r w:rsidRPr="000431F7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PROCEDURE</w:t>
      </w:r>
      <w:r w:rsidR="00F40897" w:rsidRPr="000431F7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AND</w:t>
      </w:r>
      <w:r w:rsidRPr="000431F7"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0000" w:themeColor="text1"/>
          <w:lang w:val="en-US" w:eastAsia="en-GB"/>
        </w:rPr>
        <w:t>RESULTS</w:t>
      </w:r>
    </w:p>
    <w:p w14:paraId="29C1B412" w14:textId="0725D45C" w:rsidR="004C4D74" w:rsidRDefault="004C4D74" w:rsidP="00363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C4D74">
        <w:rPr>
          <w:rFonts w:ascii="Arial" w:eastAsia="Times New Roman" w:hAnsi="Arial" w:cs="Arial"/>
          <w:color w:val="000000" w:themeColor="text1"/>
          <w:lang w:val="en-US" w:eastAsia="en-GB"/>
        </w:rPr>
        <w:t>All duly completed applications that are submitted within the set timeframe and are accompanied by the required documentation, will be evaluated by a Selection Committee, appointed by Frederick University.</w:t>
      </w:r>
    </w:p>
    <w:p w14:paraId="2737DE18" w14:textId="51507B47" w:rsidR="004C4D74" w:rsidRPr="00DC6DEC" w:rsidRDefault="004C4D74" w:rsidP="00363D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4C4D74">
        <w:rPr>
          <w:rFonts w:ascii="Arial" w:eastAsia="Times New Roman" w:hAnsi="Arial" w:cs="Arial"/>
          <w:color w:val="000000" w:themeColor="text1"/>
          <w:lang w:val="en-US" w:eastAsia="en-GB"/>
        </w:rPr>
        <w:t xml:space="preserve">Applications will be ranked according to a scoring system that is based on socio-economic criteria and the academic performance of the candidates in secondary education. </w:t>
      </w:r>
    </w:p>
    <w:sectPr w:rsidR="004C4D74" w:rsidRPr="00DC6DEC" w:rsidSect="00926CA4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40B9" w14:textId="77777777" w:rsidR="00ED241A" w:rsidRDefault="00ED241A" w:rsidP="008D5D4E">
      <w:pPr>
        <w:spacing w:after="0" w:line="240" w:lineRule="auto"/>
      </w:pPr>
      <w:r>
        <w:separator/>
      </w:r>
    </w:p>
  </w:endnote>
  <w:endnote w:type="continuationSeparator" w:id="0">
    <w:p w14:paraId="042623D1" w14:textId="77777777" w:rsidR="00ED241A" w:rsidRDefault="00ED241A" w:rsidP="008D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6613F" w14:textId="77777777" w:rsidR="00ED241A" w:rsidRDefault="00ED241A" w:rsidP="008D5D4E">
      <w:pPr>
        <w:spacing w:after="0" w:line="240" w:lineRule="auto"/>
      </w:pPr>
      <w:r>
        <w:separator/>
      </w:r>
    </w:p>
  </w:footnote>
  <w:footnote w:type="continuationSeparator" w:id="0">
    <w:p w14:paraId="6259303B" w14:textId="77777777" w:rsidR="00ED241A" w:rsidRDefault="00ED241A" w:rsidP="008D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06C2" w14:textId="0342DB3F" w:rsidR="008D5D4E" w:rsidRDefault="00944D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E459731" wp14:editId="5EE377ED">
          <wp:simplePos x="0" y="0"/>
          <wp:positionH relativeFrom="page">
            <wp:posOffset>3997960</wp:posOffset>
          </wp:positionH>
          <wp:positionV relativeFrom="paragraph">
            <wp:posOffset>-185420</wp:posOffset>
          </wp:positionV>
          <wp:extent cx="3190875" cy="798830"/>
          <wp:effectExtent l="0" t="0" r="0" b="0"/>
          <wp:wrapThrough wrapText="bothSides">
            <wp:wrapPolygon edited="0">
              <wp:start x="1161" y="5151"/>
              <wp:lineTo x="645" y="8242"/>
              <wp:lineTo x="645" y="11332"/>
              <wp:lineTo x="1419" y="14423"/>
              <wp:lineTo x="1419" y="15453"/>
              <wp:lineTo x="2063" y="15453"/>
              <wp:lineTo x="2063" y="14423"/>
              <wp:lineTo x="20504" y="11332"/>
              <wp:lineTo x="20504" y="8757"/>
              <wp:lineTo x="1934" y="5151"/>
              <wp:lineTo x="1161" y="5151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2" r="9994"/>
                  <a:stretch/>
                </pic:blipFill>
                <pic:spPr bwMode="auto">
                  <a:xfrm>
                    <a:off x="0" y="0"/>
                    <a:ext cx="31908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1AF">
      <w:rPr>
        <w:noProof/>
      </w:rPr>
      <w:drawing>
        <wp:inline distT="0" distB="0" distL="0" distR="0" wp14:anchorId="1FE6C285" wp14:editId="0D9B61CE">
          <wp:extent cx="2190750" cy="49290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261" cy="499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C8B4C" w14:textId="77777777" w:rsidR="008D5D4E" w:rsidRDefault="008D5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42047"/>
    <w:multiLevelType w:val="hybridMultilevel"/>
    <w:tmpl w:val="032C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7E80"/>
    <w:multiLevelType w:val="hybridMultilevel"/>
    <w:tmpl w:val="785A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46EF"/>
    <w:multiLevelType w:val="hybridMultilevel"/>
    <w:tmpl w:val="7968F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30307"/>
    <w:multiLevelType w:val="hybridMultilevel"/>
    <w:tmpl w:val="0FF6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C45"/>
    <w:rsid w:val="000319D9"/>
    <w:rsid w:val="00034405"/>
    <w:rsid w:val="000431F7"/>
    <w:rsid w:val="00066EF9"/>
    <w:rsid w:val="0012685A"/>
    <w:rsid w:val="00156945"/>
    <w:rsid w:val="00164129"/>
    <w:rsid w:val="00166BB5"/>
    <w:rsid w:val="002319C1"/>
    <w:rsid w:val="002437D4"/>
    <w:rsid w:val="002661AF"/>
    <w:rsid w:val="002820CF"/>
    <w:rsid w:val="002A0C7D"/>
    <w:rsid w:val="002A6031"/>
    <w:rsid w:val="002C3F1E"/>
    <w:rsid w:val="003073B4"/>
    <w:rsid w:val="0032771C"/>
    <w:rsid w:val="00355FDD"/>
    <w:rsid w:val="00363DC9"/>
    <w:rsid w:val="00386E55"/>
    <w:rsid w:val="003954DA"/>
    <w:rsid w:val="00395BC9"/>
    <w:rsid w:val="003C2F36"/>
    <w:rsid w:val="003E23C1"/>
    <w:rsid w:val="0045394A"/>
    <w:rsid w:val="004C4D74"/>
    <w:rsid w:val="00551101"/>
    <w:rsid w:val="00592E5B"/>
    <w:rsid w:val="005A2CC0"/>
    <w:rsid w:val="005A5425"/>
    <w:rsid w:val="005C42B3"/>
    <w:rsid w:val="00606A92"/>
    <w:rsid w:val="006433E5"/>
    <w:rsid w:val="0069753A"/>
    <w:rsid w:val="006A264A"/>
    <w:rsid w:val="006B0183"/>
    <w:rsid w:val="006C6E50"/>
    <w:rsid w:val="006D0CCA"/>
    <w:rsid w:val="006E2E7D"/>
    <w:rsid w:val="006F0EAB"/>
    <w:rsid w:val="00704E43"/>
    <w:rsid w:val="00724CF7"/>
    <w:rsid w:val="007E5413"/>
    <w:rsid w:val="007F64B0"/>
    <w:rsid w:val="00830ADF"/>
    <w:rsid w:val="00832E9C"/>
    <w:rsid w:val="00846C45"/>
    <w:rsid w:val="00852A92"/>
    <w:rsid w:val="008D1419"/>
    <w:rsid w:val="008D5D4E"/>
    <w:rsid w:val="00911AE6"/>
    <w:rsid w:val="00926CA4"/>
    <w:rsid w:val="00930C22"/>
    <w:rsid w:val="00944D2E"/>
    <w:rsid w:val="00953FF5"/>
    <w:rsid w:val="00976948"/>
    <w:rsid w:val="009F671A"/>
    <w:rsid w:val="00A54C21"/>
    <w:rsid w:val="00A62B73"/>
    <w:rsid w:val="00AA763E"/>
    <w:rsid w:val="00AC496E"/>
    <w:rsid w:val="00AD06C7"/>
    <w:rsid w:val="00B109E8"/>
    <w:rsid w:val="00B22CD6"/>
    <w:rsid w:val="00B44925"/>
    <w:rsid w:val="00B953E2"/>
    <w:rsid w:val="00BC201F"/>
    <w:rsid w:val="00BD1C3C"/>
    <w:rsid w:val="00BF5C3B"/>
    <w:rsid w:val="00C121FC"/>
    <w:rsid w:val="00C15A0C"/>
    <w:rsid w:val="00CB25F3"/>
    <w:rsid w:val="00CB461A"/>
    <w:rsid w:val="00CC3B8B"/>
    <w:rsid w:val="00D45C03"/>
    <w:rsid w:val="00D7548F"/>
    <w:rsid w:val="00DB234A"/>
    <w:rsid w:val="00DB2C1B"/>
    <w:rsid w:val="00DC6DEC"/>
    <w:rsid w:val="00E146DC"/>
    <w:rsid w:val="00E1697A"/>
    <w:rsid w:val="00E60793"/>
    <w:rsid w:val="00E70843"/>
    <w:rsid w:val="00EC4D52"/>
    <w:rsid w:val="00EC4E51"/>
    <w:rsid w:val="00ED241A"/>
    <w:rsid w:val="00EE65EA"/>
    <w:rsid w:val="00F339EE"/>
    <w:rsid w:val="00F40897"/>
    <w:rsid w:val="00F553A7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62216"/>
  <w15:chartTrackingRefBased/>
  <w15:docId w15:val="{53198DAF-12FB-4DDB-B3FE-FEB06A9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DC9"/>
    <w:rPr>
      <w:color w:val="0000FF"/>
      <w:u w:val="single"/>
    </w:rPr>
  </w:style>
  <w:style w:type="table" w:styleId="TableGrid">
    <w:name w:val="Table Grid"/>
    <w:basedOn w:val="TableNormal"/>
    <w:uiPriority w:val="39"/>
    <w:rsid w:val="0039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4E"/>
  </w:style>
  <w:style w:type="paragraph" w:styleId="Footer">
    <w:name w:val="footer"/>
    <w:basedOn w:val="Normal"/>
    <w:link w:val="FooterChar"/>
    <w:uiPriority w:val="99"/>
    <w:unhideWhenUsed/>
    <w:rsid w:val="008D5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4E"/>
  </w:style>
  <w:style w:type="character" w:styleId="UnresolvedMention">
    <w:name w:val="Unresolved Mention"/>
    <w:basedOn w:val="DefaultParagraphFont"/>
    <w:uiPriority w:val="99"/>
    <w:semiHidden/>
    <w:unhideWhenUsed/>
    <w:rsid w:val="0038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scholarships@frederick.ac.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scholarships@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University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Meropi</cp:lastModifiedBy>
  <cp:revision>2</cp:revision>
  <cp:lastPrinted>2020-09-14T10:16:00Z</cp:lastPrinted>
  <dcterms:created xsi:type="dcterms:W3CDTF">2022-08-09T05:23:00Z</dcterms:created>
  <dcterms:modified xsi:type="dcterms:W3CDTF">2022-08-09T05:23:00Z</dcterms:modified>
</cp:coreProperties>
</file>